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2217" w14:textId="23CA221F" w:rsidR="000231B0" w:rsidRPr="000231B0" w:rsidRDefault="000231B0" w:rsidP="00E70614">
      <w:pPr>
        <w:spacing w:after="120" w:line="240" w:lineRule="auto"/>
        <w:jc w:val="center"/>
        <w:outlineLvl w:val="0"/>
        <w:rPr>
          <w:rFonts w:ascii="Garamond" w:hAnsi="Garamond" w:cs="Times New Roman"/>
          <w:b/>
          <w:sz w:val="28"/>
          <w:szCs w:val="28"/>
          <w:lang w:val="en-US"/>
        </w:rPr>
      </w:pPr>
      <w:r w:rsidRPr="000231B0">
        <w:rPr>
          <w:rFonts w:ascii="Garamond" w:hAnsi="Garamond" w:cs="Times New Roman"/>
          <w:b/>
          <w:sz w:val="28"/>
          <w:szCs w:val="28"/>
          <w:lang w:val="en-US"/>
        </w:rPr>
        <w:t>A</w:t>
      </w:r>
      <w:r>
        <w:rPr>
          <w:rFonts w:ascii="Garamond" w:hAnsi="Garamond" w:cs="Times New Roman"/>
          <w:b/>
          <w:sz w:val="28"/>
          <w:szCs w:val="28"/>
          <w:lang w:val="en-US"/>
        </w:rPr>
        <w:t>BSTRAKTY</w:t>
      </w:r>
    </w:p>
    <w:p w14:paraId="0D9F4538" w14:textId="1C8BD5A8" w:rsidR="000231B0" w:rsidRDefault="000231B0" w:rsidP="00E70614">
      <w:pPr>
        <w:spacing w:after="120" w:line="240" w:lineRule="auto"/>
        <w:jc w:val="center"/>
        <w:outlineLvl w:val="0"/>
        <w:rPr>
          <w:rFonts w:ascii="Garamond" w:hAnsi="Garamond" w:cs="Times New Roman"/>
          <w:b/>
          <w:sz w:val="28"/>
          <w:szCs w:val="28"/>
          <w:lang w:val="en-US"/>
        </w:rPr>
      </w:pPr>
      <w:r w:rsidRPr="000231B0">
        <w:rPr>
          <w:rFonts w:ascii="Garamond" w:hAnsi="Garamond" w:cs="Times New Roman"/>
          <w:b/>
          <w:sz w:val="28"/>
          <w:szCs w:val="28"/>
          <w:lang w:val="en-US"/>
        </w:rPr>
        <w:t xml:space="preserve">7. </w:t>
      </w:r>
      <w:proofErr w:type="spellStart"/>
      <w:r w:rsidRPr="000231B0">
        <w:rPr>
          <w:rFonts w:ascii="Garamond" w:hAnsi="Garamond" w:cs="Times New Roman"/>
          <w:b/>
          <w:sz w:val="28"/>
          <w:szCs w:val="28"/>
          <w:lang w:val="en-US"/>
        </w:rPr>
        <w:t>byzantologický</w:t>
      </w:r>
      <w:proofErr w:type="spellEnd"/>
      <w:r w:rsidRPr="000231B0">
        <w:rPr>
          <w:rFonts w:ascii="Garamond" w:hAnsi="Garamond" w:cs="Times New Roman"/>
          <w:b/>
          <w:sz w:val="28"/>
          <w:szCs w:val="28"/>
          <w:lang w:val="en-US"/>
        </w:rPr>
        <w:t xml:space="preserve"> den</w:t>
      </w:r>
    </w:p>
    <w:p w14:paraId="3B905211" w14:textId="77BF0944" w:rsidR="000231B0" w:rsidRPr="000231B0" w:rsidRDefault="00BF07E0" w:rsidP="00E70614">
      <w:pPr>
        <w:spacing w:after="120" w:line="240" w:lineRule="auto"/>
        <w:jc w:val="center"/>
        <w:outlineLvl w:val="0"/>
        <w:rPr>
          <w:rFonts w:ascii="Garamond" w:hAnsi="Garamond" w:cs="Times New Roman"/>
          <w:b/>
          <w:sz w:val="28"/>
          <w:szCs w:val="28"/>
          <w:lang w:val="en-US"/>
        </w:rPr>
      </w:pPr>
      <w:r>
        <w:rPr>
          <w:rFonts w:ascii="Garamond" w:hAnsi="Garamond" w:cs="Times New Roman"/>
          <w:b/>
          <w:sz w:val="28"/>
          <w:szCs w:val="28"/>
          <w:lang w:val="en-US"/>
        </w:rPr>
        <w:t>28. května</w:t>
      </w:r>
      <w:bookmarkStart w:id="0" w:name="_GoBack"/>
      <w:bookmarkEnd w:id="0"/>
      <w:r w:rsidR="000231B0">
        <w:rPr>
          <w:rFonts w:ascii="Garamond" w:hAnsi="Garamond" w:cs="Times New Roman"/>
          <w:b/>
          <w:sz w:val="28"/>
          <w:szCs w:val="28"/>
          <w:lang w:val="en-US"/>
        </w:rPr>
        <w:t xml:space="preserve"> 2021</w:t>
      </w:r>
    </w:p>
    <w:p w14:paraId="586B78DF" w14:textId="77777777" w:rsidR="000231B0" w:rsidRDefault="000231B0" w:rsidP="00E70614">
      <w:pPr>
        <w:spacing w:after="120" w:line="240" w:lineRule="auto"/>
        <w:outlineLvl w:val="0"/>
        <w:rPr>
          <w:rFonts w:ascii="Garamond" w:hAnsi="Garamond" w:cs="Times New Roman"/>
          <w:b/>
          <w:sz w:val="24"/>
          <w:szCs w:val="24"/>
          <w:lang w:val="en-US"/>
        </w:rPr>
      </w:pPr>
    </w:p>
    <w:p w14:paraId="14CEB9A3" w14:textId="2C51C6B2" w:rsidR="00874EB6" w:rsidRPr="00C84CAE" w:rsidRDefault="00874EB6" w:rsidP="00E70614">
      <w:pPr>
        <w:spacing w:after="12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C84CAE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Radka Fialová</w:t>
      </w:r>
      <w:r w:rsidR="00C84CAE" w:rsidRPr="00C84CAE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Pr="00C84CA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Umělecké památky Ravenny</w:t>
      </w:r>
    </w:p>
    <w:p w14:paraId="50325C61" w14:textId="5104D353" w:rsidR="00D604EC" w:rsidRPr="000231B0" w:rsidRDefault="00874EB6" w:rsidP="002E771D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Severoitalská Ravenna zažila nebývalý vzmach od počátku 5. století, poté co se stala sídlem císaře </w:t>
      </w:r>
      <w:proofErr w:type="spellStart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Honoria</w:t>
      </w:r>
      <w:proofErr w:type="spellEnd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jeho nevlastní sestry Gally </w:t>
      </w:r>
      <w:proofErr w:type="spellStart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Placidie</w:t>
      </w:r>
      <w:proofErr w:type="spellEnd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. Od poloviny 6. do poloviny 8. století byla hlavním městem byzantského exarchátu. Zachoval se zde soubor staveb, v nichž se snoubí západní a východní vlivy, se zcela jedinečnými mozaikami – ne</w:t>
      </w:r>
      <w:r w:rsidR="00C84CA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j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ucelenějšími a nejzachovalejšími mimo Konstantinopol –, včetně slavných mozaik z baziliky San </w:t>
      </w:r>
      <w:proofErr w:type="spellStart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Vitale</w:t>
      </w:r>
      <w:proofErr w:type="spellEnd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, zachycující císařovnu Theodoru a císaře Justiniána a jejich průvod. Přednáška s obrazovými ukázkami se věnuje osmi památkám chráněným UNESCO, jejich architektuře a ikonografické výzdobě.</w:t>
      </w:r>
    </w:p>
    <w:p w14:paraId="370ECD94" w14:textId="77777777" w:rsidR="00874EB6" w:rsidRPr="000231B0" w:rsidRDefault="00874EB6" w:rsidP="00E70614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61BF2064" w14:textId="2832ABCA" w:rsidR="00FD4F8B" w:rsidRPr="002F5A8E" w:rsidRDefault="00FD4F8B" w:rsidP="00E70614">
      <w:pPr>
        <w:spacing w:after="12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2F5A8E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Pavla Drápelová</w:t>
      </w:r>
      <w:r w:rsidR="002F5A8E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Pr="002F5A8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Sklavéni</w:t>
      </w:r>
      <w:proofErr w:type="spellEnd"/>
      <w:r w:rsidRPr="002F5A8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v díle </w:t>
      </w:r>
      <w:proofErr w:type="spellStart"/>
      <w:r w:rsidRPr="002F5A8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Prokopia</w:t>
      </w:r>
      <w:proofErr w:type="spellEnd"/>
      <w:r w:rsidRPr="002F5A8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F5A8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Caesarejského</w:t>
      </w:r>
      <w:proofErr w:type="spellEnd"/>
      <w:r w:rsidRPr="002F5A8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a statistika</w:t>
      </w:r>
    </w:p>
    <w:p w14:paraId="3B140607" w14:textId="13704323" w:rsidR="00DD5035" w:rsidRDefault="00FD4F8B" w:rsidP="002E771D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Cílem příspěvku je odpovědět na otázku nakolik jsou </w:t>
      </w:r>
      <w:proofErr w:type="spellStart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Sklavéni</w:t>
      </w:r>
      <w:proofErr w:type="spellEnd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(tj. Slované) v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díle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raně byzantského autora </w:t>
      </w:r>
      <w:proofErr w:type="spellStart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Prokopia</w:t>
      </w:r>
      <w:proofErr w:type="spellEnd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Cesarejského</w:t>
      </w:r>
      <w:proofErr w:type="spellEnd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popisováni podobně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anebo naopak odlišně ve srovnání s ostatními barbary, se kterými byla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Byzanc v 6.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století v kontaktu. V prezentaci se zaměřím na identifikaci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některých klíčových slov a obratů, které Prokopios při popisu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Slovanů použil a srovnání četnosti výskytu těchto termínů v jeho popisech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ostatních barbarů. Ukážeme si, že některé výrazy patřily mezi obecně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rozšířené, ale naopak některé jiné je možné najít pouze v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omezeném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počtu případů a jejich časté použití v souvislosti se Slovany je tak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zarážející a naznačuje, že v očích </w:t>
      </w:r>
      <w:proofErr w:type="spellStart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Prokopia</w:t>
      </w:r>
      <w:proofErr w:type="spellEnd"/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byly určité aktivity a</w:t>
      </w:r>
      <w:r w:rsidR="0027121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0231B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vlastnosti Slovanů zdůrazněny.</w:t>
      </w:r>
    </w:p>
    <w:p w14:paraId="54CC4358" w14:textId="3B407890" w:rsidR="00EE595C" w:rsidRDefault="00EE595C" w:rsidP="00E70614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357B81BE" w14:textId="77777777" w:rsidR="00EE595C" w:rsidRPr="000231B0" w:rsidRDefault="00EE595C" w:rsidP="00E70614">
      <w:pPr>
        <w:spacing w:after="120" w:line="240" w:lineRule="auto"/>
        <w:outlineLvl w:val="0"/>
        <w:rPr>
          <w:rFonts w:ascii="Garamond" w:hAnsi="Garamond" w:cs="Times New Roman"/>
          <w:b/>
          <w:sz w:val="24"/>
          <w:szCs w:val="24"/>
          <w:lang w:val="en-US"/>
        </w:rPr>
      </w:pPr>
      <w:proofErr w:type="spellStart"/>
      <w:r w:rsidRPr="000231B0">
        <w:rPr>
          <w:rFonts w:ascii="Garamond" w:hAnsi="Garamond" w:cs="Times New Roman"/>
          <w:b/>
          <w:sz w:val="24"/>
          <w:szCs w:val="24"/>
          <w:lang w:val="en-US"/>
        </w:rPr>
        <w:t>Przemysław</w:t>
      </w:r>
      <w:proofErr w:type="spellEnd"/>
      <w:r w:rsidRPr="000231B0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Pr="000231B0">
        <w:rPr>
          <w:rFonts w:ascii="Garamond" w:hAnsi="Garamond" w:cs="Times New Roman"/>
          <w:b/>
          <w:sz w:val="24"/>
          <w:szCs w:val="24"/>
          <w:lang w:val="en-US"/>
        </w:rPr>
        <w:t>Marciniak</w:t>
      </w:r>
      <w:bookmarkStart w:id="1" w:name="_Hlk34742746"/>
      <w:proofErr w:type="spellEnd"/>
      <w:r>
        <w:rPr>
          <w:rFonts w:ascii="Garamond" w:hAnsi="Garamond" w:cs="Times New Roman"/>
          <w:b/>
          <w:sz w:val="24"/>
          <w:szCs w:val="24"/>
          <w:lang w:val="en-US"/>
        </w:rPr>
        <w:t xml:space="preserve">, </w:t>
      </w:r>
      <w:r w:rsidRPr="000231B0">
        <w:rPr>
          <w:rFonts w:ascii="Garamond" w:hAnsi="Garamond" w:cs="Times New Roman"/>
          <w:b/>
          <w:i/>
          <w:iCs/>
          <w:sz w:val="24"/>
          <w:szCs w:val="24"/>
          <w:lang w:val="en-US"/>
        </w:rPr>
        <w:t>The gnat like the elephant and the flea like the panther. Byzantine cultural</w:t>
      </w:r>
      <w:r>
        <w:rPr>
          <w:rFonts w:ascii="Garamond" w:hAnsi="Garamond" w:cs="Times New Roman"/>
          <w:b/>
          <w:i/>
          <w:iCs/>
          <w:sz w:val="24"/>
          <w:szCs w:val="24"/>
          <w:lang w:val="en-US"/>
        </w:rPr>
        <w:t xml:space="preserve"> </w:t>
      </w:r>
      <w:r w:rsidRPr="000231B0">
        <w:rPr>
          <w:rFonts w:ascii="Garamond" w:hAnsi="Garamond" w:cs="Times New Roman"/>
          <w:b/>
          <w:i/>
          <w:iCs/>
          <w:sz w:val="24"/>
          <w:szCs w:val="24"/>
          <w:lang w:val="en-US"/>
        </w:rPr>
        <w:t>entomology – preliminary remarks.</w:t>
      </w:r>
      <w:r w:rsidRPr="000231B0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</w:p>
    <w:bookmarkEnd w:id="1"/>
    <w:p w14:paraId="5E2D27EB" w14:textId="77777777" w:rsidR="00EE595C" w:rsidRPr="000231B0" w:rsidRDefault="00EE595C" w:rsidP="00E70614">
      <w:pPr>
        <w:spacing w:after="12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0231B0">
        <w:rPr>
          <w:rFonts w:ascii="Garamond" w:hAnsi="Garamond" w:cs="Times New Roman"/>
          <w:sz w:val="24"/>
          <w:szCs w:val="24"/>
          <w:lang w:val="en-US"/>
        </w:rPr>
        <w:t xml:space="preserve">Byzantine literature offers a surprising selection of texts on insects – the three pseudoscientific treatises penned by Michael </w:t>
      </w:r>
      <w:proofErr w:type="spellStart"/>
      <w:r w:rsidRPr="000231B0">
        <w:rPr>
          <w:rFonts w:ascii="Garamond" w:hAnsi="Garamond" w:cs="Times New Roman"/>
          <w:sz w:val="24"/>
          <w:szCs w:val="24"/>
          <w:lang w:val="en-US"/>
        </w:rPr>
        <w:t>Psellos</w:t>
      </w:r>
      <w:proofErr w:type="spellEnd"/>
      <w:r w:rsidRPr="000231B0">
        <w:rPr>
          <w:rFonts w:ascii="Garamond" w:hAnsi="Garamond" w:cs="Times New Roman"/>
          <w:sz w:val="24"/>
          <w:szCs w:val="24"/>
          <w:lang w:val="en-US"/>
        </w:rPr>
        <w:t xml:space="preserve"> on fleas, bedbugs, and lice, his oration on being bitten by fleas, poems on the spider and the ant by Christopher of Mytilene, and a </w:t>
      </w:r>
      <w:proofErr w:type="spellStart"/>
      <w:r w:rsidRPr="000231B0">
        <w:rPr>
          <w:rFonts w:ascii="Garamond" w:hAnsi="Garamond" w:cs="Times New Roman"/>
          <w:sz w:val="24"/>
          <w:szCs w:val="24"/>
          <w:lang w:val="en-US"/>
        </w:rPr>
        <w:t>psogos</w:t>
      </w:r>
      <w:proofErr w:type="spellEnd"/>
      <w:r w:rsidRPr="000231B0">
        <w:rPr>
          <w:rFonts w:ascii="Garamond" w:hAnsi="Garamond" w:cs="Times New Roman"/>
          <w:sz w:val="24"/>
          <w:szCs w:val="24"/>
          <w:lang w:val="en-US"/>
        </w:rPr>
        <w:t xml:space="preserve"> of the fly by </w:t>
      </w:r>
      <w:proofErr w:type="spellStart"/>
      <w:r w:rsidRPr="000231B0">
        <w:rPr>
          <w:rFonts w:ascii="Garamond" w:hAnsi="Garamond" w:cs="Times New Roman"/>
          <w:sz w:val="24"/>
          <w:szCs w:val="24"/>
          <w:lang w:val="en-US"/>
        </w:rPr>
        <w:t>Eugenios</w:t>
      </w:r>
      <w:proofErr w:type="spellEnd"/>
      <w:r w:rsidRPr="000231B0">
        <w:rPr>
          <w:rFonts w:ascii="Garamond" w:hAnsi="Garamond" w:cs="Times New Roman"/>
          <w:sz w:val="24"/>
          <w:szCs w:val="24"/>
          <w:lang w:val="en-US"/>
        </w:rPr>
        <w:t xml:space="preserve"> of Palermo. John Tzetzes offered a long and detailed description of various kinds of insects in his commentaries on Aristophanes’ </w:t>
      </w:r>
      <w:r w:rsidRPr="000231B0">
        <w:rPr>
          <w:rFonts w:ascii="Garamond" w:hAnsi="Garamond" w:cs="Times New Roman"/>
          <w:i/>
          <w:iCs/>
          <w:sz w:val="24"/>
          <w:szCs w:val="24"/>
          <w:lang w:val="en-US"/>
        </w:rPr>
        <w:t>Clouds</w:t>
      </w:r>
      <w:r w:rsidRPr="000231B0">
        <w:rPr>
          <w:rFonts w:ascii="Garamond" w:hAnsi="Garamond" w:cs="Times New Roman"/>
          <w:sz w:val="24"/>
          <w:szCs w:val="24"/>
          <w:lang w:val="en-US"/>
        </w:rPr>
        <w:t xml:space="preserve">, and in the </w:t>
      </w:r>
      <w:proofErr w:type="spellStart"/>
      <w:r w:rsidRPr="000231B0">
        <w:rPr>
          <w:rFonts w:ascii="Garamond" w:hAnsi="Garamond" w:cs="Times New Roman"/>
          <w:i/>
          <w:iCs/>
          <w:sz w:val="24"/>
          <w:szCs w:val="24"/>
          <w:lang w:val="en-US"/>
        </w:rPr>
        <w:t>Chiliades</w:t>
      </w:r>
      <w:proofErr w:type="spellEnd"/>
      <w:r w:rsidRPr="000231B0">
        <w:rPr>
          <w:rFonts w:ascii="Garamond" w:hAnsi="Garamond" w:cs="Times New Roman"/>
          <w:sz w:val="24"/>
          <w:szCs w:val="24"/>
          <w:lang w:val="en-US"/>
        </w:rPr>
        <w:t xml:space="preserve"> one of the </w:t>
      </w:r>
      <w:proofErr w:type="spellStart"/>
      <w:r w:rsidRPr="000231B0">
        <w:rPr>
          <w:rFonts w:ascii="Garamond" w:hAnsi="Garamond" w:cs="Times New Roman"/>
          <w:sz w:val="24"/>
          <w:szCs w:val="24"/>
          <w:lang w:val="en-US"/>
        </w:rPr>
        <w:t>historiai</w:t>
      </w:r>
      <w:proofErr w:type="spellEnd"/>
      <w:r w:rsidRPr="000231B0">
        <w:rPr>
          <w:rFonts w:ascii="Garamond" w:hAnsi="Garamond" w:cs="Times New Roman"/>
          <w:sz w:val="24"/>
          <w:szCs w:val="24"/>
          <w:lang w:val="en-US"/>
        </w:rPr>
        <w:t xml:space="preserve"> is devoted to customs and the allegorical interpretation of cicadas.</w:t>
      </w:r>
    </w:p>
    <w:p w14:paraId="056150AB" w14:textId="77777777" w:rsidR="00EE595C" w:rsidRPr="000231B0" w:rsidRDefault="00EE595C" w:rsidP="00E70614">
      <w:pPr>
        <w:spacing w:after="12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0231B0">
        <w:rPr>
          <w:rFonts w:ascii="Garamond" w:hAnsi="Garamond" w:cs="Times New Roman"/>
          <w:sz w:val="24"/>
          <w:szCs w:val="24"/>
          <w:lang w:val="en-US"/>
        </w:rPr>
        <w:t xml:space="preserve">Human interaction with insects concerns two intertwined areas of interest: biophysical reality and “the abstract world of aesthetics, fantasy, and metaphysical speculation”. Byzantine writers often merged these two spheres to produce new meaning - a detailed description of an animal is used to convey a more symbolic meaning. This twofold yet complementary, approach to animals is especially visible in texts, which are located between the real and the imaginary as they include a detailed description of an animal, which, in turn is used to express a symbolic meaning. Christopher of Mytilene describes a spider in a very detailed way to ponder God’s might, while </w:t>
      </w:r>
      <w:proofErr w:type="spellStart"/>
      <w:r w:rsidRPr="000231B0">
        <w:rPr>
          <w:rFonts w:ascii="Garamond" w:hAnsi="Garamond" w:cs="Times New Roman"/>
          <w:sz w:val="24"/>
          <w:szCs w:val="24"/>
          <w:lang w:val="en-US"/>
        </w:rPr>
        <w:t>Eugenios</w:t>
      </w:r>
      <w:proofErr w:type="spellEnd"/>
      <w:r w:rsidRPr="000231B0">
        <w:rPr>
          <w:rFonts w:ascii="Garamond" w:hAnsi="Garamond" w:cs="Times New Roman"/>
          <w:sz w:val="24"/>
          <w:szCs w:val="24"/>
          <w:lang w:val="en-US"/>
        </w:rPr>
        <w:t xml:space="preserve">’ description of a fly, a subversive take on Lucian’s paradoxical </w:t>
      </w:r>
      <w:proofErr w:type="spellStart"/>
      <w:r w:rsidRPr="000231B0">
        <w:rPr>
          <w:rFonts w:ascii="Garamond" w:hAnsi="Garamond" w:cs="Times New Roman"/>
          <w:sz w:val="24"/>
          <w:szCs w:val="24"/>
          <w:lang w:val="en-US"/>
        </w:rPr>
        <w:t>enkomion</w:t>
      </w:r>
      <w:proofErr w:type="spellEnd"/>
      <w:r w:rsidRPr="000231B0">
        <w:rPr>
          <w:rFonts w:ascii="Garamond" w:hAnsi="Garamond" w:cs="Times New Roman"/>
          <w:sz w:val="24"/>
          <w:szCs w:val="24"/>
          <w:lang w:val="en-US"/>
        </w:rPr>
        <w:t xml:space="preserve">, is conducted to prove his participation in Greek </w:t>
      </w:r>
      <w:r w:rsidRPr="000231B0">
        <w:rPr>
          <w:rFonts w:ascii="Garamond" w:hAnsi="Garamond" w:cs="Times New Roman"/>
          <w:i/>
          <w:sz w:val="24"/>
          <w:szCs w:val="24"/>
          <w:lang w:val="en-US"/>
        </w:rPr>
        <w:t>paideia</w:t>
      </w:r>
      <w:r w:rsidRPr="000231B0">
        <w:rPr>
          <w:rFonts w:ascii="Garamond" w:hAnsi="Garamond" w:cs="Times New Roman"/>
          <w:sz w:val="24"/>
          <w:szCs w:val="24"/>
          <w:lang w:val="en-US"/>
        </w:rPr>
        <w:t>.</w:t>
      </w:r>
    </w:p>
    <w:p w14:paraId="016071FD" w14:textId="77777777" w:rsidR="00EE595C" w:rsidRPr="000231B0" w:rsidRDefault="00EE595C" w:rsidP="00E70614">
      <w:pPr>
        <w:spacing w:after="12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0231B0">
        <w:rPr>
          <w:rFonts w:ascii="Garamond" w:hAnsi="Garamond" w:cs="Times New Roman"/>
          <w:sz w:val="24"/>
          <w:szCs w:val="24"/>
          <w:lang w:val="en-US"/>
        </w:rPr>
        <w:t>Therefore, my presentation studies the role, which the insect imagery played in the literary and cultural imagination of the Byzantines in the 11</w:t>
      </w:r>
      <w:r w:rsidRPr="000231B0">
        <w:rPr>
          <w:rFonts w:ascii="Garamond" w:hAnsi="Garamond" w:cs="Times New Roman"/>
          <w:sz w:val="24"/>
          <w:szCs w:val="24"/>
          <w:vertAlign w:val="superscript"/>
          <w:lang w:val="en-US"/>
        </w:rPr>
        <w:t>th</w:t>
      </w:r>
      <w:r w:rsidRPr="000231B0">
        <w:rPr>
          <w:rFonts w:ascii="Garamond" w:hAnsi="Garamond" w:cs="Times New Roman"/>
          <w:sz w:val="24"/>
          <w:szCs w:val="24"/>
          <w:lang w:val="en-US"/>
        </w:rPr>
        <w:t xml:space="preserve"> and 12</w:t>
      </w:r>
      <w:r w:rsidRPr="000231B0">
        <w:rPr>
          <w:rFonts w:ascii="Garamond" w:hAnsi="Garamond" w:cs="Times New Roman"/>
          <w:sz w:val="24"/>
          <w:szCs w:val="24"/>
          <w:vertAlign w:val="superscript"/>
          <w:lang w:val="en-US"/>
        </w:rPr>
        <w:t>th</w:t>
      </w:r>
      <w:r w:rsidRPr="000231B0">
        <w:rPr>
          <w:rFonts w:ascii="Garamond" w:hAnsi="Garamond" w:cs="Times New Roman"/>
          <w:sz w:val="24"/>
          <w:szCs w:val="24"/>
          <w:lang w:val="en-US"/>
        </w:rPr>
        <w:t xml:space="preserve"> centuries. I intend to show how the “insect discourse” was constructed, and what purposes it could serve. </w:t>
      </w:r>
    </w:p>
    <w:p w14:paraId="335DEDE0" w14:textId="77777777" w:rsidR="00EE595C" w:rsidRPr="00EE595C" w:rsidRDefault="00EE595C" w:rsidP="00E70614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 w:eastAsia="cs-CZ"/>
        </w:rPr>
      </w:pPr>
    </w:p>
    <w:p w14:paraId="2F5FC7B3" w14:textId="087CEA3C" w:rsidR="00271210" w:rsidRDefault="00271210" w:rsidP="00E70614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63741873" w14:textId="42AF9475" w:rsidR="00271210" w:rsidRPr="00271210" w:rsidRDefault="00271210" w:rsidP="00E70614">
      <w:pPr>
        <w:spacing w:after="120"/>
        <w:rPr>
          <w:rFonts w:ascii="Palatino Linotype" w:hAnsi="Palatino Linotype"/>
          <w:i/>
          <w:iCs/>
          <w:sz w:val="24"/>
          <w:szCs w:val="24"/>
        </w:rPr>
      </w:pPr>
      <w:r w:rsidRPr="00271210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Petra Melichar, </w:t>
      </w:r>
      <w:r w:rsidRPr="00271210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Císařovniny nové šaty: </w:t>
      </w:r>
      <w:r w:rsidR="00EE595C">
        <w:rPr>
          <w:rFonts w:ascii="Palatino Linotype" w:hAnsi="Palatino Linotype"/>
          <w:b/>
          <w:bCs/>
          <w:i/>
          <w:iCs/>
          <w:sz w:val="24"/>
          <w:szCs w:val="24"/>
        </w:rPr>
        <w:t>proměna císařské nevěsty v byzantskou císařovn</w:t>
      </w:r>
      <w:r w:rsidR="00F27B05">
        <w:rPr>
          <w:rFonts w:ascii="Palatino Linotype" w:hAnsi="Palatino Linotype"/>
          <w:b/>
          <w:bCs/>
          <w:i/>
          <w:iCs/>
          <w:sz w:val="24"/>
          <w:szCs w:val="24"/>
        </w:rPr>
        <w:t>ou</w:t>
      </w:r>
      <w:r w:rsidRPr="00271210">
        <w:rPr>
          <w:rFonts w:ascii="Palatino Linotype" w:hAnsi="Palatino Linotype"/>
          <w:i/>
          <w:iCs/>
          <w:sz w:val="24"/>
          <w:szCs w:val="24"/>
        </w:rPr>
        <w:t xml:space="preserve"> </w:t>
      </w:r>
    </w:p>
    <w:p w14:paraId="3B32A8DC" w14:textId="6449E2C9" w:rsidR="00271210" w:rsidRPr="00271210" w:rsidRDefault="00271210" w:rsidP="002E771D">
      <w:pPr>
        <w:spacing w:after="12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Rituály spojené s příjezdem císařské nevěsty do hlavního města v pozdně byzantském období zrekonstruované z různých druhů </w:t>
      </w:r>
      <w:r w:rsidR="0041348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soudobých 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>pramenů nám představují nejen barvitou stránku světa byzantských slavností, ale silně se dotýkají také císařské ideologie a byzantského pohledu na sebe a svou civilizaci</w:t>
      </w:r>
      <w:r w:rsidR="0041348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 konci středověku.</w:t>
      </w:r>
    </w:p>
    <w:p w14:paraId="30646225" w14:textId="1615FB89" w:rsidR="00271210" w:rsidRDefault="00271210" w:rsidP="00E70614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3F8975DF" w14:textId="11102732" w:rsidR="00271210" w:rsidRPr="00271210" w:rsidRDefault="00271210" w:rsidP="00E70614">
      <w:pPr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271210">
        <w:rPr>
          <w:rFonts w:ascii="Garamond" w:hAnsi="Garamond" w:cs="Times New Roman"/>
          <w:b/>
          <w:bCs/>
          <w:sz w:val="24"/>
          <w:szCs w:val="24"/>
        </w:rPr>
        <w:t xml:space="preserve">Věra </w:t>
      </w:r>
      <w:proofErr w:type="spellStart"/>
      <w:r w:rsidRPr="00271210">
        <w:rPr>
          <w:rFonts w:ascii="Garamond" w:hAnsi="Garamond" w:cs="Times New Roman"/>
          <w:b/>
          <w:bCs/>
          <w:sz w:val="24"/>
          <w:szCs w:val="24"/>
        </w:rPr>
        <w:t>Klontza</w:t>
      </w:r>
      <w:proofErr w:type="spellEnd"/>
      <w:r w:rsidRPr="00271210">
        <w:rPr>
          <w:rFonts w:ascii="Garamond" w:hAnsi="Garamond" w:cs="Times New Roman"/>
          <w:b/>
          <w:bCs/>
          <w:sz w:val="24"/>
          <w:szCs w:val="24"/>
        </w:rPr>
        <w:t>-Jaklová</w:t>
      </w:r>
      <w:r>
        <w:rPr>
          <w:rFonts w:ascii="Garamond" w:hAnsi="Garamond" w:cs="Times New Roman"/>
          <w:sz w:val="24"/>
          <w:szCs w:val="24"/>
        </w:rPr>
        <w:t>,</w:t>
      </w:r>
      <w:r w:rsidRPr="00271210">
        <w:rPr>
          <w:rFonts w:ascii="Garamond" w:hAnsi="Garamond" w:cs="Times New Roman"/>
          <w:sz w:val="24"/>
          <w:szCs w:val="24"/>
        </w:rPr>
        <w:t xml:space="preserve"> </w:t>
      </w:r>
      <w:r w:rsidRPr="00271210">
        <w:rPr>
          <w:rFonts w:ascii="Garamond" w:hAnsi="Garamond" w:cs="Times New Roman"/>
          <w:b/>
          <w:i/>
          <w:iCs/>
          <w:sz w:val="24"/>
          <w:szCs w:val="24"/>
        </w:rPr>
        <w:t>Archeologie Kréty: dokážeme odlišit Araby a Římany (Byzantince) v archeologických pramenech?</w:t>
      </w:r>
      <w:r w:rsidRPr="00271210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14:paraId="177BCDDF" w14:textId="075C75DE" w:rsidR="00271210" w:rsidRPr="000231B0" w:rsidRDefault="00271210" w:rsidP="002E771D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231B0">
        <w:rPr>
          <w:rFonts w:ascii="Garamond" w:hAnsi="Garamond" w:cs="Times New Roman"/>
          <w:sz w:val="24"/>
          <w:szCs w:val="24"/>
        </w:rPr>
        <w:t xml:space="preserve">Doba, kdy byla Kréta arabským emirátem (824/829–961) je (nejenom) archeologicky velmi málo známá. Byzantská i arabská historiografie a archeologie jsou velmi skoupé na speciální studie z mnoha důvodů včetně ideologií směřujících a formujících archeologická i historická paradigmata. </w:t>
      </w:r>
    </w:p>
    <w:p w14:paraId="0395A009" w14:textId="77777777" w:rsidR="00271210" w:rsidRPr="000231B0" w:rsidRDefault="00271210" w:rsidP="002E771D">
      <w:pPr>
        <w:spacing w:after="12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231B0">
        <w:rPr>
          <w:rFonts w:ascii="Garamond" w:hAnsi="Garamond" w:cs="Times New Roman"/>
          <w:sz w:val="24"/>
          <w:szCs w:val="24"/>
        </w:rPr>
        <w:t xml:space="preserve">Příspěvek je přehledem současného bádání na poli historie byzantské Kréty, archeologických pramenů, ale jeho těžiště se nachází v prezentaci archeologických metod a nástrojů, které mají potenciál doplnit archeologickou mapu, získat prameny a informace k dalšímu poznání politického, hospodářského a kulturního života na ostrově. Jedná se hlavně o metody archeologické modelace, prediktivní modely sídelní sítě, které vycházejí z dlouhodobých změn sídelní struktury, tzv. Land use. Výsledky přinesla také revize archeologických nálezů datovaných do období 9. – 10. století a revize arabských i byzantských pramenů týkajících se tohoto období. </w:t>
      </w:r>
    </w:p>
    <w:p w14:paraId="1E291957" w14:textId="2B2A3575" w:rsidR="00271210" w:rsidRDefault="00271210" w:rsidP="002E771D">
      <w:pPr>
        <w:spacing w:after="12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231B0">
        <w:rPr>
          <w:rFonts w:ascii="Garamond" w:hAnsi="Garamond" w:cs="Times New Roman"/>
          <w:sz w:val="24"/>
          <w:szCs w:val="24"/>
        </w:rPr>
        <w:t xml:space="preserve">Na závěr jsou prezentovány první výsledky cílených prospekcí vycházející z aplikace výše zmíněných metod. </w:t>
      </w:r>
    </w:p>
    <w:p w14:paraId="0D519C4E" w14:textId="0EE604CD" w:rsidR="00271210" w:rsidRDefault="00271210" w:rsidP="00E70614">
      <w:pPr>
        <w:spacing w:after="120" w:line="240" w:lineRule="auto"/>
        <w:rPr>
          <w:rFonts w:ascii="Garamond" w:hAnsi="Garamond" w:cs="Times New Roman"/>
          <w:sz w:val="24"/>
          <w:szCs w:val="24"/>
        </w:rPr>
      </w:pPr>
    </w:p>
    <w:p w14:paraId="6BE4B942" w14:textId="18F76643" w:rsidR="00271210" w:rsidRPr="00271210" w:rsidRDefault="00271210" w:rsidP="00E70614">
      <w:pPr>
        <w:spacing w:after="12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271210">
        <w:rPr>
          <w:rFonts w:ascii="Garamond" w:hAnsi="Garamond" w:cs="Times New Roman"/>
          <w:b/>
          <w:bCs/>
          <w:sz w:val="24"/>
          <w:szCs w:val="24"/>
        </w:rPr>
        <w:t xml:space="preserve">Věra </w:t>
      </w:r>
      <w:proofErr w:type="spellStart"/>
      <w:r w:rsidRPr="00271210">
        <w:rPr>
          <w:rFonts w:ascii="Garamond" w:hAnsi="Garamond" w:cs="Times New Roman"/>
          <w:b/>
          <w:bCs/>
          <w:sz w:val="24"/>
          <w:szCs w:val="24"/>
        </w:rPr>
        <w:t>Klontza</w:t>
      </w:r>
      <w:proofErr w:type="spellEnd"/>
      <w:r w:rsidRPr="00271210">
        <w:rPr>
          <w:rFonts w:ascii="Garamond" w:hAnsi="Garamond" w:cs="Times New Roman"/>
          <w:b/>
          <w:bCs/>
          <w:sz w:val="24"/>
          <w:szCs w:val="24"/>
        </w:rPr>
        <w:t xml:space="preserve">- Jaklová, Klára Matulová, Adam Geisler, </w:t>
      </w:r>
      <w:proofErr w:type="spellStart"/>
      <w:r w:rsidRPr="00271210">
        <w:rPr>
          <w:rFonts w:ascii="Garamond" w:hAnsi="Garamond" w:cs="Times New Roman"/>
          <w:b/>
          <w:bCs/>
          <w:sz w:val="24"/>
          <w:szCs w:val="24"/>
        </w:rPr>
        <w:t>Manolis</w:t>
      </w:r>
      <w:proofErr w:type="spellEnd"/>
      <w:r w:rsidRPr="0027121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271210">
        <w:rPr>
          <w:rFonts w:ascii="Garamond" w:hAnsi="Garamond" w:cs="Times New Roman"/>
          <w:b/>
          <w:bCs/>
          <w:sz w:val="24"/>
          <w:szCs w:val="24"/>
        </w:rPr>
        <w:t>Klontzas</w:t>
      </w:r>
      <w:proofErr w:type="spellEnd"/>
      <w:r>
        <w:rPr>
          <w:rFonts w:ascii="Garamond" w:hAnsi="Garamond" w:cs="Times New Roman"/>
          <w:b/>
          <w:bCs/>
          <w:sz w:val="24"/>
          <w:szCs w:val="24"/>
        </w:rPr>
        <w:t>,</w:t>
      </w:r>
      <w:r w:rsidRPr="0027121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271210">
        <w:rPr>
          <w:rFonts w:ascii="Garamond" w:hAnsi="Garamond" w:cs="Times New Roman"/>
          <w:b/>
          <w:i/>
          <w:iCs/>
          <w:sz w:val="24"/>
          <w:szCs w:val="24"/>
        </w:rPr>
        <w:t>Hospodaření s vodou na krétských byzantských pevnostech.</w:t>
      </w:r>
    </w:p>
    <w:p w14:paraId="6E283C57" w14:textId="77777777" w:rsidR="00271210" w:rsidRPr="000231B0" w:rsidRDefault="00271210" w:rsidP="002E771D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231B0">
        <w:rPr>
          <w:rFonts w:ascii="Garamond" w:hAnsi="Garamond" w:cs="Times New Roman"/>
          <w:sz w:val="24"/>
          <w:szCs w:val="24"/>
        </w:rPr>
        <w:t xml:space="preserve">Od poloviny 7. století je možné nejenom na Krétě sledovat osídlování strategických míst a zároveň jejich opevňování. Tato tendence přetrvává celé 8. století. Tyto opevněné lokality vykazují přítomnost poměrně velkých komunit a to i na místech, kde neexistuje žádný přirozený zdroj vody, kromě krátkodobých, ale vydatných dešťů. </w:t>
      </w:r>
    </w:p>
    <w:p w14:paraId="189FCD32" w14:textId="77777777" w:rsidR="00271210" w:rsidRPr="000231B0" w:rsidRDefault="00271210" w:rsidP="002E771D">
      <w:pPr>
        <w:spacing w:after="12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231B0">
        <w:rPr>
          <w:rFonts w:ascii="Garamond" w:hAnsi="Garamond" w:cs="Times New Roman"/>
          <w:sz w:val="24"/>
          <w:szCs w:val="24"/>
        </w:rPr>
        <w:t xml:space="preserve">Na všech těchto lokalitách (např. </w:t>
      </w:r>
      <w:proofErr w:type="spellStart"/>
      <w:r w:rsidRPr="000231B0">
        <w:rPr>
          <w:rFonts w:ascii="Garamond" w:hAnsi="Garamond" w:cs="Times New Roman"/>
          <w:sz w:val="24"/>
          <w:szCs w:val="24"/>
        </w:rPr>
        <w:t>Keratos</w:t>
      </w:r>
      <w:proofErr w:type="spellEnd"/>
      <w:r w:rsidRPr="000231B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0231B0">
        <w:rPr>
          <w:rFonts w:ascii="Garamond" w:hAnsi="Garamond" w:cs="Times New Roman"/>
          <w:sz w:val="24"/>
          <w:szCs w:val="24"/>
        </w:rPr>
        <w:t>Oxa</w:t>
      </w:r>
      <w:proofErr w:type="spellEnd"/>
      <w:r w:rsidRPr="000231B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0231B0">
        <w:rPr>
          <w:rFonts w:ascii="Garamond" w:hAnsi="Garamond" w:cs="Times New Roman"/>
          <w:sz w:val="24"/>
          <w:szCs w:val="24"/>
        </w:rPr>
        <w:t>Liopetro</w:t>
      </w:r>
      <w:proofErr w:type="spellEnd"/>
      <w:r w:rsidRPr="000231B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0231B0">
        <w:rPr>
          <w:rFonts w:ascii="Garamond" w:hAnsi="Garamond" w:cs="Times New Roman"/>
          <w:sz w:val="24"/>
          <w:szCs w:val="24"/>
        </w:rPr>
        <w:t>Varypetro</w:t>
      </w:r>
      <w:proofErr w:type="spellEnd"/>
      <w:r w:rsidRPr="000231B0">
        <w:rPr>
          <w:rFonts w:ascii="Garamond" w:hAnsi="Garamond" w:cs="Times New Roman"/>
          <w:sz w:val="24"/>
          <w:szCs w:val="24"/>
        </w:rPr>
        <w:t xml:space="preserve"> ad.) byly identifikovány systémy nádrží budovaných z kamene, ošetřených tzv. hydraulickou omítkou. Jejich stavitelé využívali dlouhodobé znalosti a zkušenosti, které dovolují osídlit velmi suché oblasti. V některých případech byl tento sběr vody tak účinný, že bylo možné zavlažovat terasovitá pole v okolí takových lokalit, zabraňovat tak erozi, nebo dokonce využívat vodu jako kapitál v případě přístavů na jižním pobřeží (systém </w:t>
      </w:r>
      <w:proofErr w:type="spellStart"/>
      <w:r w:rsidRPr="000231B0">
        <w:rPr>
          <w:rFonts w:ascii="Garamond" w:hAnsi="Garamond" w:cs="Times New Roman"/>
          <w:sz w:val="24"/>
          <w:szCs w:val="24"/>
        </w:rPr>
        <w:t>Inatos</w:t>
      </w:r>
      <w:proofErr w:type="spellEnd"/>
      <w:r w:rsidRPr="000231B0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0231B0">
        <w:rPr>
          <w:rFonts w:ascii="Garamond" w:hAnsi="Garamond" w:cs="Times New Roman"/>
          <w:sz w:val="24"/>
          <w:szCs w:val="24"/>
        </w:rPr>
        <w:t>Priansos</w:t>
      </w:r>
      <w:proofErr w:type="spellEnd"/>
      <w:r w:rsidRPr="000231B0">
        <w:rPr>
          <w:rFonts w:ascii="Garamond" w:hAnsi="Garamond" w:cs="Times New Roman"/>
          <w:sz w:val="24"/>
          <w:szCs w:val="24"/>
        </w:rPr>
        <w:t xml:space="preserve">), kde touto vodou byly doplňovány zásobníky lodí křižujících Středozemní moře. </w:t>
      </w:r>
    </w:p>
    <w:p w14:paraId="32FCADFA" w14:textId="600E0CCB" w:rsidR="00271210" w:rsidRPr="000231B0" w:rsidRDefault="00271210" w:rsidP="002E771D">
      <w:pPr>
        <w:spacing w:after="12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231B0">
        <w:rPr>
          <w:rFonts w:ascii="Garamond" w:hAnsi="Garamond" w:cs="Times New Roman"/>
          <w:sz w:val="24"/>
          <w:szCs w:val="24"/>
        </w:rPr>
        <w:t>Příspěvek prezentuje jak dílčí konkrétní studie a výzkumy, tak obecný rámec a zákonitosti budování a využívání tohoto systému.</w:t>
      </w:r>
      <w:r w:rsidR="00F27B05">
        <w:rPr>
          <w:rFonts w:ascii="Garamond" w:hAnsi="Garamond" w:cs="Times New Roman"/>
          <w:sz w:val="24"/>
          <w:szCs w:val="24"/>
        </w:rPr>
        <w:t xml:space="preserve"> </w:t>
      </w:r>
      <w:r w:rsidRPr="000231B0">
        <w:rPr>
          <w:rFonts w:ascii="Garamond" w:hAnsi="Garamond" w:cs="Times New Roman"/>
          <w:sz w:val="24"/>
          <w:szCs w:val="24"/>
        </w:rPr>
        <w:t xml:space="preserve">Tento systém je možné aplikovat i dnes, kdy </w:t>
      </w:r>
      <w:proofErr w:type="spellStart"/>
      <w:r w:rsidRPr="000231B0">
        <w:rPr>
          <w:rFonts w:ascii="Garamond" w:hAnsi="Garamond" w:cs="Times New Roman"/>
          <w:sz w:val="24"/>
          <w:szCs w:val="24"/>
        </w:rPr>
        <w:t>aridizace</w:t>
      </w:r>
      <w:proofErr w:type="spellEnd"/>
      <w:r w:rsidRPr="000231B0">
        <w:rPr>
          <w:rFonts w:ascii="Garamond" w:hAnsi="Garamond" w:cs="Times New Roman"/>
          <w:sz w:val="24"/>
          <w:szCs w:val="24"/>
        </w:rPr>
        <w:t xml:space="preserve"> krétské krajiny představuje velmi aktuální problém. </w:t>
      </w:r>
    </w:p>
    <w:p w14:paraId="27949FC8" w14:textId="77777777" w:rsidR="00F27B05" w:rsidRDefault="00F27B05" w:rsidP="00E70614">
      <w:pPr>
        <w:spacing w:after="12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14:paraId="4EA0FB31" w14:textId="7445CA3C" w:rsidR="00792633" w:rsidRPr="00271210" w:rsidRDefault="00792633" w:rsidP="00E70614">
      <w:pPr>
        <w:spacing w:after="12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271210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Robin Pánek</w:t>
      </w:r>
      <w:r w:rsidR="00271210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Pr="00271210">
        <w:rPr>
          <w:rFonts w:ascii="Garamond" w:hAnsi="Garamond"/>
          <w:b/>
          <w:bCs/>
          <w:i/>
          <w:iCs/>
          <w:sz w:val="24"/>
          <w:szCs w:val="24"/>
        </w:rPr>
        <w:t>Počátky a vývoj špitální péče ve východním Středomoří</w:t>
      </w:r>
    </w:p>
    <w:p w14:paraId="7ABB3283" w14:textId="02899FD9" w:rsidR="00792633" w:rsidRPr="000231B0" w:rsidRDefault="00792633" w:rsidP="00E70614">
      <w:pPr>
        <w:pStyle w:val="Bezmezer"/>
        <w:spacing w:after="120"/>
        <w:jc w:val="both"/>
        <w:rPr>
          <w:rFonts w:ascii="Garamond" w:hAnsi="Garamond"/>
          <w:sz w:val="24"/>
          <w:szCs w:val="24"/>
        </w:rPr>
      </w:pPr>
      <w:r w:rsidRPr="000231B0">
        <w:rPr>
          <w:rFonts w:ascii="Garamond" w:hAnsi="Garamond"/>
          <w:sz w:val="24"/>
          <w:szCs w:val="24"/>
        </w:rPr>
        <w:t xml:space="preserve">Hlavním úkolem této přednášky je sledovat a analyzovat vývoj špitální a lékařské péče v prostředí východního Středomoří, a to na příkladech prvotní perské, byzantské a muslimské péče a podoby špitálních zařízení. Sledován a analyzován bude především vývoj špitálů, jejich personálu, kvalita a </w:t>
      </w:r>
      <w:r w:rsidRPr="000231B0">
        <w:rPr>
          <w:rFonts w:ascii="Garamond" w:hAnsi="Garamond"/>
          <w:sz w:val="24"/>
          <w:szCs w:val="24"/>
        </w:rPr>
        <w:lastRenderedPageBreak/>
        <w:t>způsob péče vykonávané v těchto zařízení</w:t>
      </w:r>
      <w:r w:rsidR="00F27B05">
        <w:rPr>
          <w:rFonts w:ascii="Garamond" w:hAnsi="Garamond"/>
          <w:sz w:val="24"/>
          <w:szCs w:val="24"/>
        </w:rPr>
        <w:t>ch</w:t>
      </w:r>
      <w:r w:rsidRPr="000231B0">
        <w:rPr>
          <w:rFonts w:ascii="Garamond" w:hAnsi="Garamond"/>
          <w:sz w:val="24"/>
          <w:szCs w:val="24"/>
        </w:rPr>
        <w:t xml:space="preserve"> a její komparace mezi jednotlivými kulturními okruhy. O struktuře špitálů se dochovalo pouze malé množství primárních pramenů a svědectví. Největší procento pramenů tvoří lékařské spisy arabských studovaných lékařů, které však ve velké většině buď nebyly přeloženy z arabského originálu, nebo se týkají spíše charakteru lékařské péče jako takové, a ne samotné instituce špitálu. Dochovaly se však zakládající dokumenty některých špitálů a arabské spisy, vytvářející přehledy známých lékařů a institucí, ve kterých působily. Závěrem je pak komparační analýza obou hlavních přístupů, tedy byzantského a muslimského, z nichž následně do velké míry vycházela katolická špitální péče rytířských špitálních řádů v oblasti Svaté země a celého východního Středomoří.  </w:t>
      </w:r>
    </w:p>
    <w:p w14:paraId="7A8DBD2E" w14:textId="77777777" w:rsidR="00792633" w:rsidRPr="000231B0" w:rsidRDefault="00792633" w:rsidP="00E70614">
      <w:pPr>
        <w:pStyle w:val="Bezmezer"/>
        <w:spacing w:after="120"/>
        <w:ind w:firstLine="708"/>
        <w:jc w:val="both"/>
        <w:rPr>
          <w:rFonts w:ascii="Garamond" w:hAnsi="Garamond"/>
          <w:sz w:val="24"/>
          <w:szCs w:val="24"/>
        </w:rPr>
      </w:pPr>
    </w:p>
    <w:p w14:paraId="74377845" w14:textId="336E6F1C" w:rsidR="008E09F2" w:rsidRPr="000231B0" w:rsidRDefault="008E09F2" w:rsidP="00E70614">
      <w:pPr>
        <w:spacing w:after="120" w:line="240" w:lineRule="auto"/>
        <w:rPr>
          <w:rFonts w:ascii="Garamond" w:hAnsi="Garamond" w:cs="Times New Roman"/>
          <w:sz w:val="24"/>
          <w:szCs w:val="24"/>
        </w:rPr>
      </w:pPr>
    </w:p>
    <w:p w14:paraId="0F0DF2B8" w14:textId="77777777" w:rsidR="008E09F2" w:rsidRPr="000231B0" w:rsidRDefault="008E09F2" w:rsidP="00E70614">
      <w:pPr>
        <w:spacing w:after="120" w:line="240" w:lineRule="auto"/>
        <w:rPr>
          <w:rFonts w:ascii="Garamond" w:hAnsi="Garamond" w:cs="Times New Roman"/>
          <w:sz w:val="24"/>
          <w:szCs w:val="24"/>
        </w:rPr>
      </w:pPr>
    </w:p>
    <w:p w14:paraId="252535DE" w14:textId="77777777" w:rsidR="008E09F2" w:rsidRPr="000231B0" w:rsidRDefault="008E09F2" w:rsidP="00E70614">
      <w:pPr>
        <w:spacing w:after="120" w:line="240" w:lineRule="auto"/>
        <w:rPr>
          <w:rFonts w:ascii="Garamond" w:hAnsi="Garamond" w:cs="Times New Roman"/>
          <w:sz w:val="24"/>
          <w:szCs w:val="24"/>
        </w:rPr>
      </w:pPr>
    </w:p>
    <w:p w14:paraId="64070ED8" w14:textId="77777777" w:rsidR="008E09F2" w:rsidRPr="000231B0" w:rsidRDefault="008E09F2" w:rsidP="00E70614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2A9F75A3" w14:textId="77777777" w:rsidR="00792633" w:rsidRPr="000231B0" w:rsidRDefault="00792633" w:rsidP="00E70614">
      <w:pPr>
        <w:spacing w:after="120" w:line="240" w:lineRule="auto"/>
        <w:rPr>
          <w:rFonts w:ascii="Garamond" w:hAnsi="Garamond"/>
          <w:sz w:val="24"/>
          <w:szCs w:val="24"/>
        </w:rPr>
      </w:pPr>
    </w:p>
    <w:sectPr w:rsidR="00792633" w:rsidRPr="0002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4713"/>
    <w:multiLevelType w:val="hybridMultilevel"/>
    <w:tmpl w:val="86200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33"/>
    <w:rsid w:val="000231B0"/>
    <w:rsid w:val="00271210"/>
    <w:rsid w:val="002E771D"/>
    <w:rsid w:val="002F5A8E"/>
    <w:rsid w:val="0041348A"/>
    <w:rsid w:val="004955A5"/>
    <w:rsid w:val="00792633"/>
    <w:rsid w:val="00874EB6"/>
    <w:rsid w:val="00875B33"/>
    <w:rsid w:val="008E09F2"/>
    <w:rsid w:val="009B3E69"/>
    <w:rsid w:val="00BD6DDB"/>
    <w:rsid w:val="00BF07E0"/>
    <w:rsid w:val="00C84CAE"/>
    <w:rsid w:val="00D604EC"/>
    <w:rsid w:val="00DD5035"/>
    <w:rsid w:val="00E70614"/>
    <w:rsid w:val="00EE595C"/>
    <w:rsid w:val="00F27B05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96E5"/>
  <w15:chartTrackingRefBased/>
  <w15:docId w15:val="{D8E9A8B0-EB12-4D87-A720-DE8EF12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263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8E09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Karolína Skwarská</cp:lastModifiedBy>
  <cp:revision>4</cp:revision>
  <dcterms:created xsi:type="dcterms:W3CDTF">2021-05-25T12:32:00Z</dcterms:created>
  <dcterms:modified xsi:type="dcterms:W3CDTF">2021-05-25T12:36:00Z</dcterms:modified>
</cp:coreProperties>
</file>